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5D2C7C" w14:textId="0528374C" w:rsidR="00214E6A" w:rsidRPr="004A1A95" w:rsidRDefault="00214E6A" w:rsidP="00214E6A">
      <w:pPr>
        <w:pStyle w:val="3GPPHeader"/>
        <w:spacing w:after="60"/>
        <w:rPr>
          <w:sz w:val="32"/>
          <w:szCs w:val="32"/>
        </w:rPr>
      </w:pPr>
      <w:r>
        <w:t>3GPP RAN WG</w:t>
      </w:r>
      <w:r w:rsidR="000225EA">
        <w:t>3</w:t>
      </w:r>
      <w:r>
        <w:t xml:space="preserve"> Meeting #1</w:t>
      </w:r>
      <w:r w:rsidR="000225EA">
        <w:t>10</w:t>
      </w:r>
      <w:r w:rsidR="00721025">
        <w:t>e</w:t>
      </w:r>
      <w:r w:rsidRPr="004A1A95">
        <w:tab/>
      </w:r>
      <w:r w:rsidRPr="00102774">
        <w:rPr>
          <w:rFonts w:cs="Arial"/>
          <w:bCs/>
          <w:sz w:val="26"/>
          <w:szCs w:val="26"/>
        </w:rPr>
        <w:t>R</w:t>
      </w:r>
      <w:r w:rsidR="000225EA">
        <w:rPr>
          <w:rFonts w:cs="Arial"/>
          <w:bCs/>
          <w:sz w:val="26"/>
          <w:szCs w:val="26"/>
        </w:rPr>
        <w:t>3</w:t>
      </w:r>
      <w:r w:rsidRPr="00102774">
        <w:rPr>
          <w:rFonts w:cs="Arial"/>
          <w:bCs/>
          <w:sz w:val="26"/>
          <w:szCs w:val="26"/>
        </w:rPr>
        <w:t>-</w:t>
      </w:r>
      <w:r w:rsidR="00AC76A8">
        <w:rPr>
          <w:rFonts w:cs="Arial"/>
          <w:bCs/>
          <w:sz w:val="26"/>
          <w:szCs w:val="26"/>
        </w:rPr>
        <w:t>20</w:t>
      </w:r>
      <w:r w:rsidR="000225EA">
        <w:rPr>
          <w:rFonts w:cs="Arial"/>
          <w:bCs/>
          <w:sz w:val="26"/>
          <w:szCs w:val="26"/>
        </w:rPr>
        <w:t>5964</w:t>
      </w:r>
    </w:p>
    <w:p w14:paraId="698051DC" w14:textId="1861F2E8" w:rsidR="00214E6A" w:rsidRPr="00702A88" w:rsidRDefault="00AC76A8" w:rsidP="00214E6A">
      <w:pPr>
        <w:pStyle w:val="3GPPHeader"/>
      </w:pPr>
      <w:proofErr w:type="spellStart"/>
      <w:r>
        <w:t>eMeeting</w:t>
      </w:r>
      <w:proofErr w:type="spellEnd"/>
      <w:r w:rsidR="00721025">
        <w:t>,</w:t>
      </w:r>
      <w:r w:rsidR="00214E6A" w:rsidRPr="00CC0905">
        <w:t xml:space="preserve"> </w:t>
      </w:r>
      <w:r w:rsidR="00A80D84">
        <w:t>November</w:t>
      </w:r>
      <w:r w:rsidR="00214E6A">
        <w:t xml:space="preserve"> </w:t>
      </w:r>
      <w:r w:rsidR="00A80D84">
        <w:t>2</w:t>
      </w:r>
      <w:r w:rsidR="00A80D84">
        <w:rPr>
          <w:vertAlign w:val="superscript"/>
        </w:rPr>
        <w:t>nd</w:t>
      </w:r>
      <w:r w:rsidR="00214E6A" w:rsidRPr="00CC0905">
        <w:t xml:space="preserve"> –</w:t>
      </w:r>
      <w:r w:rsidR="00214E6A">
        <w:t xml:space="preserve"> </w:t>
      </w:r>
      <w:r w:rsidR="00A80D84">
        <w:t>12</w:t>
      </w:r>
      <w:r w:rsidR="003D2B16" w:rsidRPr="003D2B16">
        <w:rPr>
          <w:vertAlign w:val="superscript"/>
        </w:rPr>
        <w:t>th</w:t>
      </w:r>
      <w:r w:rsidR="004040A2">
        <w:t>,</w:t>
      </w:r>
      <w:r w:rsidR="00214E6A" w:rsidRPr="00CC0905">
        <w:t xml:space="preserve"> 20</w:t>
      </w:r>
      <w:r w:rsidR="003D2B16">
        <w:t>20</w:t>
      </w:r>
      <w:r w:rsidR="00CD05AE">
        <w:t xml:space="preserve"> </w:t>
      </w:r>
    </w:p>
    <w:p w14:paraId="7AD14354" w14:textId="09B28B02"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0225EA">
        <w:rPr>
          <w:sz w:val="22"/>
          <w:szCs w:val="22"/>
          <w:lang w:val="sv-SE"/>
        </w:rPr>
        <w:t>20.2.4</w:t>
      </w:r>
    </w:p>
    <w:p w14:paraId="4910E89F" w14:textId="77777777" w:rsidR="00214E6A" w:rsidRPr="00721025" w:rsidRDefault="00214E6A" w:rsidP="00214E6A">
      <w:pPr>
        <w:pStyle w:val="3GPPHeader"/>
        <w:rPr>
          <w:sz w:val="22"/>
          <w:szCs w:val="22"/>
          <w:lang w:val="en-US"/>
        </w:rPr>
      </w:pPr>
      <w:r w:rsidRPr="00721025">
        <w:rPr>
          <w:sz w:val="22"/>
          <w:szCs w:val="22"/>
          <w:lang w:val="en-US"/>
        </w:rPr>
        <w:t>Source:</w:t>
      </w:r>
      <w:r w:rsidRPr="00721025">
        <w:rPr>
          <w:sz w:val="22"/>
          <w:szCs w:val="22"/>
          <w:lang w:val="en-US"/>
        </w:rPr>
        <w:tab/>
        <w:t>InterDigital</w:t>
      </w:r>
    </w:p>
    <w:p w14:paraId="28B90663" w14:textId="29E37F04"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721025">
        <w:rPr>
          <w:sz w:val="22"/>
          <w:szCs w:val="22"/>
        </w:rPr>
        <w:t>On feeder link switch</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109EEAA9" w14:textId="57BBEED1" w:rsidR="00001445" w:rsidRPr="008924A3" w:rsidRDefault="00001445" w:rsidP="00001445">
      <w:pPr>
        <w:spacing w:line="276" w:lineRule="auto"/>
        <w:rPr>
          <w:rFonts w:cs="Arial"/>
          <w:sz w:val="22"/>
          <w:szCs w:val="22"/>
        </w:rPr>
      </w:pPr>
      <w:r w:rsidRPr="008924A3">
        <w:rPr>
          <w:rFonts w:cs="Arial"/>
          <w:sz w:val="22"/>
          <w:szCs w:val="22"/>
        </w:rPr>
        <w:t xml:space="preserve">In RAN #86, the WI for NTN support in NR has been approved with following objectives [1]: </w:t>
      </w:r>
    </w:p>
    <w:p w14:paraId="6647BA36" w14:textId="77777777" w:rsidR="00D370B5" w:rsidRPr="00C415B3" w:rsidRDefault="00D370B5" w:rsidP="00D370B5">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8BF9271" w14:textId="77777777" w:rsidR="00D370B5" w:rsidRDefault="00D370B5" w:rsidP="00D370B5">
      <w:pPr>
        <w:numPr>
          <w:ilvl w:val="0"/>
          <w:numId w:val="14"/>
        </w:numPr>
        <w:spacing w:before="100" w:beforeAutospacing="1" w:after="100" w:afterAutospacing="1"/>
        <w:jc w:val="left"/>
      </w:pPr>
      <w:r w:rsidRPr="00C415B3">
        <w:t xml:space="preserve">to </w:t>
      </w:r>
      <w:r>
        <w:t xml:space="preserve">support feeder </w:t>
      </w:r>
      <w:proofErr w:type="gramStart"/>
      <w:r>
        <w:t>link</w:t>
      </w:r>
      <w:proofErr w:type="gramEnd"/>
      <w:r>
        <w:t xml:space="preserve"> switch over in Transparent payload architecture based LEO scenarios</w:t>
      </w:r>
    </w:p>
    <w:p w14:paraId="1861D750" w14:textId="77777777" w:rsidR="00D370B5" w:rsidRDefault="00D370B5" w:rsidP="00D370B5">
      <w:pPr>
        <w:numPr>
          <w:ilvl w:val="0"/>
          <w:numId w:val="14"/>
        </w:numPr>
        <w:spacing w:before="100" w:beforeAutospacing="1" w:after="100" w:afterAutospacing="1"/>
        <w:jc w:val="left"/>
      </w:pPr>
      <w:r>
        <w:t>network identities handling</w:t>
      </w:r>
    </w:p>
    <w:p w14:paraId="7C8DDEDE" w14:textId="77777777" w:rsidR="00D370B5" w:rsidRDefault="00D370B5" w:rsidP="00D370B5">
      <w:pPr>
        <w:numPr>
          <w:ilvl w:val="0"/>
          <w:numId w:val="14"/>
        </w:numPr>
        <w:spacing w:before="100" w:beforeAutospacing="1" w:after="100" w:afterAutospacing="1"/>
        <w:jc w:val="left"/>
      </w:pPr>
      <w:r>
        <w:t>registration update and paging handling</w:t>
      </w:r>
    </w:p>
    <w:p w14:paraId="45298E5F" w14:textId="2FCFCBB7" w:rsidR="00D370B5" w:rsidRPr="00210570" w:rsidRDefault="00D370B5" w:rsidP="00210570">
      <w:pPr>
        <w:numPr>
          <w:ilvl w:val="0"/>
          <w:numId w:val="14"/>
        </w:numPr>
        <w:spacing w:before="100" w:beforeAutospacing="1" w:after="100" w:afterAutospacing="1"/>
        <w:jc w:val="left"/>
      </w:pPr>
      <w:r w:rsidRPr="00960CB8">
        <w:t>cell relation hand</w:t>
      </w:r>
      <w:r>
        <w:t>l</w:t>
      </w:r>
      <w:r w:rsidRPr="00960CB8">
        <w:t>ing and related features e.g. neighbo</w:t>
      </w:r>
      <w:r>
        <w:t>u</w:t>
      </w:r>
      <w:r w:rsidRPr="00960CB8">
        <w:t xml:space="preserve">rs, ANR, RAN paging … </w:t>
      </w:r>
    </w:p>
    <w:p w14:paraId="02FDB324" w14:textId="77870E53" w:rsidR="003334AB" w:rsidRPr="000C3C1B" w:rsidRDefault="003334AB" w:rsidP="00001445">
      <w:pPr>
        <w:spacing w:line="276" w:lineRule="auto"/>
      </w:pPr>
      <w:r>
        <w:rPr>
          <w:rFonts w:cs="Arial"/>
          <w:sz w:val="22"/>
          <w:szCs w:val="22"/>
        </w:rPr>
        <w:t>In the August meetings the RAN working groups agreed to support both soft and hard feeder link switch, so in</w:t>
      </w:r>
      <w:bookmarkStart w:id="0" w:name="_Hlk528874692"/>
      <w:r>
        <w:rPr>
          <w:rFonts w:cs="Arial"/>
          <w:sz w:val="22"/>
          <w:szCs w:val="22"/>
        </w:rPr>
        <w:t xml:space="preserve"> </w:t>
      </w:r>
      <w:r w:rsidRPr="008924A3">
        <w:rPr>
          <w:rFonts w:cs="Arial"/>
          <w:sz w:val="22"/>
          <w:szCs w:val="22"/>
        </w:rPr>
        <w:t xml:space="preserve">this contribution, we discuss </w:t>
      </w:r>
      <w:r>
        <w:rPr>
          <w:rFonts w:cs="Arial"/>
          <w:sz w:val="22"/>
          <w:szCs w:val="22"/>
        </w:rPr>
        <w:t>feeder link switch for transparent LEO scenario, and evaluate possible options captured in TR 38.821 [2]</w:t>
      </w:r>
      <w:bookmarkEnd w:id="0"/>
      <w:r>
        <w:rPr>
          <w:rFonts w:cs="Arial"/>
          <w:sz w:val="22"/>
          <w:szCs w:val="22"/>
        </w:rPr>
        <w:t>.</w:t>
      </w:r>
    </w:p>
    <w:p w14:paraId="736A3CFD" w14:textId="2F9EBA69" w:rsidR="00214E6A" w:rsidRDefault="00214E6A" w:rsidP="00214E6A">
      <w:pPr>
        <w:pStyle w:val="Heading1"/>
      </w:pPr>
      <w:r>
        <w:t>Discussion</w:t>
      </w:r>
    </w:p>
    <w:p w14:paraId="4B262AE5" w14:textId="434619A0" w:rsidR="00C6277A" w:rsidRDefault="00BE6342" w:rsidP="00BE6342">
      <w:pPr>
        <w:pStyle w:val="Heading2"/>
      </w:pPr>
      <w:r>
        <w:t>Feeder Link Switch for Transparent LEO</w:t>
      </w:r>
    </w:p>
    <w:p w14:paraId="5894D98A" w14:textId="1B856110" w:rsidR="00AF2AFB" w:rsidRPr="000D1CD0" w:rsidRDefault="00AF2AFB" w:rsidP="006A0172">
      <w:pPr>
        <w:rPr>
          <w:sz w:val="22"/>
        </w:rPr>
      </w:pPr>
      <w:r w:rsidRPr="000D1CD0">
        <w:rPr>
          <w:sz w:val="22"/>
        </w:rPr>
        <w:t xml:space="preserve">Rel-17 NTN will support both GEO and LEO satellite constellations, where GEO deployments are characterized by large propagation delay and cell size, however stationary and approximately fixed relative to a point on earth. </w:t>
      </w:r>
      <w:r w:rsidR="006A0172" w:rsidRPr="000D1CD0">
        <w:rPr>
          <w:sz w:val="22"/>
        </w:rPr>
        <w:t xml:space="preserve">Though propagation delay and cell size </w:t>
      </w:r>
      <w:proofErr w:type="gramStart"/>
      <w:r w:rsidR="006A0172" w:rsidRPr="000D1CD0">
        <w:rPr>
          <w:sz w:val="22"/>
        </w:rPr>
        <w:t>is</w:t>
      </w:r>
      <w:proofErr w:type="gramEnd"/>
      <w:r w:rsidR="006A0172" w:rsidRPr="000D1CD0">
        <w:rPr>
          <w:sz w:val="22"/>
        </w:rPr>
        <w:t xml:space="preserve"> less in </w:t>
      </w:r>
      <w:r w:rsidRPr="000D1CD0">
        <w:rPr>
          <w:sz w:val="22"/>
        </w:rPr>
        <w:t>LEO deployments</w:t>
      </w:r>
      <w:r w:rsidR="006A0172" w:rsidRPr="000D1CD0">
        <w:rPr>
          <w:sz w:val="22"/>
        </w:rPr>
        <w:t>, satellites move relative to a fixed point on earth with cells either moving along the ground, or fixed via e.g. beam steering techniques.</w:t>
      </w:r>
    </w:p>
    <w:p w14:paraId="324162C0" w14:textId="2278B5DF" w:rsidR="00AF2AFB" w:rsidRPr="000D1CD0" w:rsidRDefault="006A0172" w:rsidP="00FD7468">
      <w:pPr>
        <w:rPr>
          <w:sz w:val="22"/>
        </w:rPr>
      </w:pPr>
      <w:r w:rsidRPr="000D1CD0">
        <w:rPr>
          <w:sz w:val="22"/>
        </w:rPr>
        <w:t>Furthermore, i</w:t>
      </w:r>
      <w:r w:rsidR="00AF2AFB" w:rsidRPr="000D1CD0">
        <w:rPr>
          <w:sz w:val="22"/>
        </w:rPr>
        <w:t>n the Rel-17 NTN WI</w:t>
      </w:r>
      <w:r w:rsidR="00695E9D" w:rsidRPr="000D1CD0">
        <w:rPr>
          <w:sz w:val="22"/>
        </w:rPr>
        <w:t>D</w:t>
      </w:r>
      <w:r w:rsidR="00AF2AFB" w:rsidRPr="000D1CD0">
        <w:rPr>
          <w:sz w:val="22"/>
        </w:rPr>
        <w:t xml:space="preserve">, it is assumed that a transparent or “bent-pipe” configuration will be deployed, where the gNB is located on the ground and a satellite relays signalling between the gNB and the UE. </w:t>
      </w:r>
      <w:r w:rsidRPr="000D1CD0">
        <w:rPr>
          <w:sz w:val="22"/>
        </w:rPr>
        <w:t>This configuration is comprised of two “links”: that associated with the connection between the gNB (via a gateway) and satellite, defined as the “feeder-link” and that between the UE and satellite.</w:t>
      </w:r>
    </w:p>
    <w:p w14:paraId="1BA511A8" w14:textId="0515E25B" w:rsidR="00AF2AFB" w:rsidRPr="000D1CD0" w:rsidRDefault="006A0172" w:rsidP="00FD7468">
      <w:pPr>
        <w:rPr>
          <w:sz w:val="22"/>
        </w:rPr>
      </w:pPr>
      <w:r w:rsidRPr="000D1CD0">
        <w:rPr>
          <w:sz w:val="22"/>
        </w:rPr>
        <w:t>As transparent L</w:t>
      </w:r>
      <w:r w:rsidR="00AF2AFB" w:rsidRPr="000D1CD0">
        <w:rPr>
          <w:sz w:val="22"/>
        </w:rPr>
        <w:t>EO satellites move around the earth</w:t>
      </w:r>
      <w:r w:rsidRPr="000D1CD0">
        <w:rPr>
          <w:sz w:val="22"/>
        </w:rPr>
        <w:t xml:space="preserve">, </w:t>
      </w:r>
      <w:r w:rsidR="00142DE2" w:rsidRPr="000D1CD0">
        <w:rPr>
          <w:sz w:val="22"/>
        </w:rPr>
        <w:t>the satellite may pass a transition point where the serving gNB falls out of coverage, for example, due to the curvature of the earth. At this transition point</w:t>
      </w:r>
      <w:r w:rsidR="00695E9D" w:rsidRPr="000D1CD0">
        <w:rPr>
          <w:sz w:val="22"/>
        </w:rPr>
        <w:t xml:space="preserve"> (or within a time period before)</w:t>
      </w:r>
      <w:r w:rsidR="00142DE2" w:rsidRPr="000D1CD0">
        <w:rPr>
          <w:sz w:val="22"/>
        </w:rPr>
        <w:t xml:space="preserve">, the satellite </w:t>
      </w:r>
      <w:r w:rsidR="00695E9D" w:rsidRPr="000D1CD0">
        <w:rPr>
          <w:sz w:val="22"/>
        </w:rPr>
        <w:t>must</w:t>
      </w:r>
      <w:r w:rsidR="00142DE2" w:rsidRPr="000D1CD0">
        <w:rPr>
          <w:sz w:val="22"/>
        </w:rPr>
        <w:t xml:space="preserve"> establish a new feeder link to an alternative gNB. The point at which the satellite establishes a connection to a new land-based gNB is referred to in the TR as a feeder link switch.</w:t>
      </w:r>
    </w:p>
    <w:p w14:paraId="26B5FAD1" w14:textId="11BB2D30" w:rsidR="00CE1F4B" w:rsidRDefault="00CE1F4B" w:rsidP="00BE6342">
      <w:pPr>
        <w:pStyle w:val="Heading2"/>
      </w:pPr>
      <w:r>
        <w:t>‘Soft’ feeder link switch</w:t>
      </w:r>
    </w:p>
    <w:p w14:paraId="42807514" w14:textId="77777777" w:rsidR="00CE1F4B" w:rsidRPr="000D1CD0" w:rsidRDefault="00CE1F4B" w:rsidP="00CE1F4B">
      <w:pPr>
        <w:rPr>
          <w:sz w:val="22"/>
        </w:rPr>
      </w:pPr>
      <w:r w:rsidRPr="000D1CD0">
        <w:rPr>
          <w:sz w:val="22"/>
        </w:rPr>
        <w:t>A soft feeder link switch allows the satellite to maintain multiple feeder links for a period prior to severing the connection with the former serving gNB, assuming that the satellite can represent cells of two different gNBs over a given area using the same satellite, but via different land-based GWs.</w:t>
      </w:r>
    </w:p>
    <w:p w14:paraId="5CD826CF" w14:textId="3E3CAE07" w:rsidR="00CE1F4B" w:rsidRDefault="00CE1F4B" w:rsidP="00CE1F4B">
      <w:r w:rsidRPr="006153E6">
        <w:rPr>
          <w:noProof/>
        </w:rPr>
        <w:lastRenderedPageBreak/>
        <w:drawing>
          <wp:inline distT="0" distB="0" distL="0" distR="0" wp14:anchorId="02868861" wp14:editId="472053D3">
            <wp:extent cx="6089276" cy="1882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0247" cy="1888622"/>
                    </a:xfrm>
                    <a:prstGeom prst="rect">
                      <a:avLst/>
                    </a:prstGeom>
                    <a:noFill/>
                    <a:ln>
                      <a:noFill/>
                    </a:ln>
                  </pic:spPr>
                </pic:pic>
              </a:graphicData>
            </a:graphic>
          </wp:inline>
        </w:drawing>
      </w:r>
    </w:p>
    <w:p w14:paraId="38ED1D5B" w14:textId="27ADD668" w:rsidR="00CE1F4B" w:rsidRDefault="00CE1F4B" w:rsidP="00CE1F4B">
      <w:pPr>
        <w:rPr>
          <w:sz w:val="22"/>
          <w:szCs w:val="22"/>
        </w:rPr>
      </w:pPr>
      <w:r w:rsidRPr="00CE1F4B">
        <w:rPr>
          <w:sz w:val="22"/>
          <w:szCs w:val="22"/>
        </w:rPr>
        <w:t xml:space="preserve">In the TR a method is defined to </w:t>
      </w:r>
      <w:r>
        <w:rPr>
          <w:sz w:val="22"/>
          <w:szCs w:val="22"/>
        </w:rPr>
        <w:t>signal over the Xn interface using an Xn Satellite Connection procedure</w:t>
      </w:r>
    </w:p>
    <w:p w14:paraId="4F447CBD" w14:textId="5307162B" w:rsidR="00CE1F4B" w:rsidRDefault="00CE1F4B" w:rsidP="00CE1F4B">
      <w:pPr>
        <w:jc w:val="center"/>
        <w:rPr>
          <w:sz w:val="22"/>
          <w:szCs w:val="22"/>
        </w:rPr>
      </w:pPr>
      <w:r w:rsidRPr="00C70023">
        <w:rPr>
          <w:noProof/>
        </w:rPr>
        <w:drawing>
          <wp:inline distT="0" distB="0" distL="0" distR="0" wp14:anchorId="68AE987C" wp14:editId="0D1CC097">
            <wp:extent cx="4815324" cy="4352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19206" cy="4356434"/>
                    </a:xfrm>
                    <a:prstGeom prst="rect">
                      <a:avLst/>
                    </a:prstGeom>
                    <a:noFill/>
                    <a:ln>
                      <a:noFill/>
                    </a:ln>
                  </pic:spPr>
                </pic:pic>
              </a:graphicData>
            </a:graphic>
          </wp:inline>
        </w:drawing>
      </w:r>
    </w:p>
    <w:p w14:paraId="51EA46E9" w14:textId="3D627D71" w:rsidR="00CE1F4B" w:rsidRPr="00CE1F4B" w:rsidRDefault="00CE1F4B" w:rsidP="00CE1F4B">
      <w:pPr>
        <w:jc w:val="left"/>
        <w:rPr>
          <w:sz w:val="22"/>
          <w:szCs w:val="22"/>
        </w:rPr>
      </w:pPr>
      <w:proofErr w:type="gramStart"/>
      <w:r>
        <w:rPr>
          <w:sz w:val="22"/>
          <w:szCs w:val="22"/>
        </w:rPr>
        <w:t>It is clear that this</w:t>
      </w:r>
      <w:proofErr w:type="gramEnd"/>
      <w:r>
        <w:rPr>
          <w:sz w:val="22"/>
          <w:szCs w:val="22"/>
        </w:rPr>
        <w:t xml:space="preserve"> method would allow for full feeder link switch without dropping UEs</w:t>
      </w:r>
    </w:p>
    <w:p w14:paraId="07320063" w14:textId="726D108C" w:rsidR="00FD7468" w:rsidRDefault="00D370B5" w:rsidP="00BE6342">
      <w:pPr>
        <w:pStyle w:val="Heading2"/>
      </w:pPr>
      <w:r>
        <w:t>‘</w:t>
      </w:r>
      <w:r w:rsidR="00BE6342">
        <w:t xml:space="preserve">Hard’ </w:t>
      </w:r>
      <w:r w:rsidR="00303C9C">
        <w:t xml:space="preserve">feeder link </w:t>
      </w:r>
      <w:r w:rsidR="00BE6342">
        <w:t>switch</w:t>
      </w:r>
    </w:p>
    <w:p w14:paraId="20EF2466" w14:textId="09A76806" w:rsidR="00695E9D" w:rsidRPr="000D1CD0" w:rsidRDefault="00303C9C" w:rsidP="00A24FC0">
      <w:pPr>
        <w:rPr>
          <w:sz w:val="22"/>
        </w:rPr>
      </w:pPr>
      <w:r w:rsidRPr="000D1CD0">
        <w:rPr>
          <w:sz w:val="22"/>
        </w:rPr>
        <w:t xml:space="preserve">A </w:t>
      </w:r>
      <w:r w:rsidR="00A24FC0" w:rsidRPr="000D1CD0">
        <w:rPr>
          <w:sz w:val="22"/>
        </w:rPr>
        <w:t>h</w:t>
      </w:r>
      <w:r w:rsidRPr="000D1CD0">
        <w:rPr>
          <w:sz w:val="22"/>
        </w:rPr>
        <w:t xml:space="preserve">ard feeder link switch requires the satellite to only maintain one feeder link at a time, thus before establishing a connection to a new gNB, the satellite must first sever the connection with the former serving gNB. </w:t>
      </w:r>
    </w:p>
    <w:p w14:paraId="24B91812" w14:textId="7D56E729" w:rsidR="00960733" w:rsidRDefault="00283DB7" w:rsidP="00BE6342">
      <w:pPr>
        <w:rPr>
          <w:sz w:val="22"/>
        </w:rPr>
      </w:pPr>
      <w:r w:rsidRPr="000D1CD0">
        <w:rPr>
          <w:sz w:val="22"/>
        </w:rPr>
        <w:t xml:space="preserve">As a hard feeder link switch entails the satellite severing the connection with the former serving gNB, all connected UEs must be simultaneously transition to the new gNB once the new feeder link is established. Given the large cell sizes and possible user density in NTN, this could lead to a RACH storm with frequent </w:t>
      </w:r>
      <w:r w:rsidR="00960733" w:rsidRPr="000D1CD0">
        <w:rPr>
          <w:sz w:val="22"/>
        </w:rPr>
        <w:t>RACH</w:t>
      </w:r>
      <w:r w:rsidRPr="000D1CD0">
        <w:rPr>
          <w:sz w:val="22"/>
        </w:rPr>
        <w:t xml:space="preserve"> collision. As well, given the increased propagation delay in NTN the signalling required to perform RRC re-establishment to a new gNB</w:t>
      </w:r>
      <w:r w:rsidR="005F4760" w:rsidRPr="000D1CD0">
        <w:rPr>
          <w:sz w:val="22"/>
        </w:rPr>
        <w:t xml:space="preserve"> (e.g. RLF detection, cell selection, </w:t>
      </w:r>
      <w:r w:rsidR="005F4760" w:rsidRPr="000D1CD0">
        <w:rPr>
          <w:sz w:val="22"/>
        </w:rPr>
        <w:lastRenderedPageBreak/>
        <w:t>potential re-establishment failure)</w:t>
      </w:r>
      <w:r w:rsidRPr="000D1CD0">
        <w:rPr>
          <w:sz w:val="22"/>
        </w:rPr>
        <w:t xml:space="preserve"> may introduce significant signalling latency and possible service interruption.</w:t>
      </w:r>
    </w:p>
    <w:p w14:paraId="6E4E31AA" w14:textId="77777777" w:rsidR="00CE1F4B" w:rsidRDefault="00CE1F4B" w:rsidP="00CE1F4B">
      <w:pPr>
        <w:rPr>
          <w:sz w:val="22"/>
        </w:rPr>
      </w:pPr>
      <w:r w:rsidRPr="000D1CD0">
        <w:rPr>
          <w:sz w:val="22"/>
        </w:rPr>
        <w:t xml:space="preserve">The TR captures possible methods to mitigate these issues for hard feeder link switch. </w:t>
      </w:r>
    </w:p>
    <w:p w14:paraId="490C9B05" w14:textId="4DD3C8FF" w:rsidR="00CE1F4B" w:rsidRPr="000D1CD0" w:rsidRDefault="00CE1F4B" w:rsidP="00CE1F4B">
      <w:pPr>
        <w:rPr>
          <w:sz w:val="22"/>
        </w:rPr>
      </w:pPr>
      <w:r>
        <w:rPr>
          <w:sz w:val="22"/>
        </w:rPr>
        <w:t>The first method is to have the switch at a particular moment of time, f</w:t>
      </w:r>
      <w:r w:rsidRPr="000D1CD0">
        <w:rPr>
          <w:sz w:val="22"/>
        </w:rPr>
        <w:t>or example, the HO command may be sent to all UEs prior to the switch with an activation time included in the HO command to properly time the HO to after the feeder link switch. However, synchronizing a potentially very large number UEs to perform handover without collision introduces additional complexity, in addition to service interruption for UEs which are scheduled to perform HO later.</w:t>
      </w:r>
    </w:p>
    <w:p w14:paraId="03A3E3F0" w14:textId="256FC430" w:rsidR="00CE1F4B" w:rsidRPr="000D1CD0" w:rsidRDefault="00CE1F4B" w:rsidP="00CE1F4B">
      <w:pPr>
        <w:rPr>
          <w:sz w:val="22"/>
        </w:rPr>
      </w:pPr>
      <w:r>
        <w:rPr>
          <w:sz w:val="22"/>
        </w:rPr>
        <w:t>The second method is t</w:t>
      </w:r>
      <w:r w:rsidRPr="000D1CD0">
        <w:rPr>
          <w:sz w:val="22"/>
        </w:rPr>
        <w:t>o compensate for the portion of UEs which may not be able to perform handover, that the network may provide additional information to the UE to reduce time for RRC re-establishment such as next cell identity. However, based on current Rel-16 specification this may assume that there is an interface between the target gNB and last serving gNB, for example, to retrieve UE context data. As simultaneous feeder links are not support in a hard switch, the only method for gNBs exchange this information is via land-based connection. Since the source and target gNBs may be located very far away (e.g. on different continents) the exchange of information may also take significant time</w:t>
      </w:r>
      <w:r w:rsidR="004768C3">
        <w:rPr>
          <w:sz w:val="22"/>
        </w:rPr>
        <w:t>,</w:t>
      </w:r>
      <w:r w:rsidR="004768C3" w:rsidRPr="004768C3">
        <w:rPr>
          <w:sz w:val="22"/>
        </w:rPr>
        <w:t xml:space="preserve"> </w:t>
      </w:r>
      <w:r w:rsidR="004768C3">
        <w:rPr>
          <w:sz w:val="22"/>
        </w:rPr>
        <w:t>which is much more time critical for the hard switch</w:t>
      </w:r>
      <w:r w:rsidRPr="000D1CD0">
        <w:rPr>
          <w:sz w:val="22"/>
        </w:rPr>
        <w:t>, should a land-based connection even exist. This may result at best possible service interruption to the UE.</w:t>
      </w:r>
    </w:p>
    <w:p w14:paraId="6FD1284B" w14:textId="5DCA4A25" w:rsidR="00CE1F4B" w:rsidRDefault="00CE1F4B" w:rsidP="00CE1F4B">
      <w:pPr>
        <w:pStyle w:val="Heading1"/>
        <w:rPr>
          <w:rFonts w:eastAsia="Calibri"/>
        </w:rPr>
      </w:pPr>
      <w:r>
        <w:rPr>
          <w:rFonts w:eastAsia="Calibri"/>
        </w:rPr>
        <w:t xml:space="preserve">RAN3 </w:t>
      </w:r>
      <w:r w:rsidR="00210570">
        <w:rPr>
          <w:rFonts w:eastAsia="Calibri"/>
        </w:rPr>
        <w:t xml:space="preserve">Standardization </w:t>
      </w:r>
      <w:r>
        <w:rPr>
          <w:rFonts w:eastAsia="Calibri"/>
        </w:rPr>
        <w:t>Impacts</w:t>
      </w:r>
    </w:p>
    <w:p w14:paraId="53C85ADB" w14:textId="2D579ED5" w:rsidR="003334AB" w:rsidRDefault="00A80D84" w:rsidP="00CE1F4B">
      <w:pPr>
        <w:rPr>
          <w:rFonts w:eastAsia="Calibri"/>
        </w:rPr>
      </w:pPr>
      <w:r>
        <w:rPr>
          <w:rFonts w:eastAsia="Calibri"/>
        </w:rPr>
        <w:t xml:space="preserve">The above discussion </w:t>
      </w:r>
      <w:r w:rsidR="00EE2108">
        <w:rPr>
          <w:rFonts w:eastAsia="Calibri"/>
        </w:rPr>
        <w:t xml:space="preserve">considers what was already studied for both soft and hard switch, looking into the details the following is a summary of the standardization impacts </w:t>
      </w:r>
      <w:r w:rsidR="002130C9">
        <w:rPr>
          <w:rFonts w:eastAsia="Calibri"/>
        </w:rPr>
        <w:t xml:space="preserve">for RAN3 specifications </w:t>
      </w:r>
      <w:r w:rsidR="00EE2108">
        <w:rPr>
          <w:rFonts w:eastAsia="Calibri"/>
        </w:rPr>
        <w:t>for feeder link switch:</w:t>
      </w:r>
    </w:p>
    <w:p w14:paraId="26EB082C" w14:textId="4AD3BC0E" w:rsidR="00EE2108" w:rsidRPr="00EE2108" w:rsidRDefault="00EE2108" w:rsidP="00CE1F4B">
      <w:pPr>
        <w:rPr>
          <w:rFonts w:eastAsia="Calibri"/>
          <w:b/>
          <w:bCs/>
        </w:rPr>
      </w:pPr>
      <w:r w:rsidRPr="00EE2108">
        <w:rPr>
          <w:rFonts w:eastAsia="Calibri"/>
          <w:b/>
          <w:bCs/>
        </w:rPr>
        <w:t xml:space="preserve">Xn Message to trigger </w:t>
      </w:r>
      <w:r>
        <w:rPr>
          <w:rFonts w:eastAsia="Calibri"/>
          <w:b/>
          <w:bCs/>
        </w:rPr>
        <w:t xml:space="preserve">establishment of the second link for </w:t>
      </w:r>
      <w:r w:rsidRPr="00EE2108">
        <w:rPr>
          <w:rFonts w:eastAsia="Calibri"/>
          <w:b/>
          <w:bCs/>
        </w:rPr>
        <w:t xml:space="preserve">soft feeder link switch </w:t>
      </w:r>
    </w:p>
    <w:p w14:paraId="12B4BF11" w14:textId="2B46EB4C" w:rsidR="00EE2108" w:rsidRDefault="002130C9" w:rsidP="00CE1F4B">
      <w:pPr>
        <w:rPr>
          <w:rFonts w:eastAsia="Calibri"/>
        </w:rPr>
      </w:pPr>
      <w:r>
        <w:rPr>
          <w:rFonts w:eastAsia="Calibri"/>
        </w:rPr>
        <w:t xml:space="preserve">As defined in the study, a XN Satellite Connection Request, Satellite Connection Request Acknowledge and Satellite Connection Request Reject are needed. </w:t>
      </w:r>
    </w:p>
    <w:p w14:paraId="47865B87" w14:textId="308A32A5" w:rsidR="002130C9" w:rsidRDefault="002130C9" w:rsidP="00CE1F4B">
      <w:pPr>
        <w:rPr>
          <w:rFonts w:eastAsia="Calibri"/>
        </w:rPr>
      </w:pPr>
      <w:r>
        <w:rPr>
          <w:rFonts w:eastAsia="Calibri"/>
        </w:rPr>
        <w:t xml:space="preserve">After the Satellite has </w:t>
      </w:r>
      <w:r w:rsidR="00C94306">
        <w:rPr>
          <w:rFonts w:eastAsia="Calibri"/>
        </w:rPr>
        <w:t xml:space="preserve">moved out of the range of the source gNB, the source gNB will know about it from the dropping of the link so no release message is needed from target gNB to source gNB. </w:t>
      </w:r>
    </w:p>
    <w:p w14:paraId="0BE40855" w14:textId="4632AF94" w:rsidR="00C94306" w:rsidRDefault="00C94306" w:rsidP="00CE1F4B">
      <w:pPr>
        <w:rPr>
          <w:rFonts w:eastAsia="Calibri"/>
        </w:rPr>
      </w:pPr>
      <w:r>
        <w:rPr>
          <w:rFonts w:eastAsia="Calibri"/>
        </w:rPr>
        <w:t xml:space="preserve">For scenarios where GW1 and GW2 are connected to the same gNB there is no </w:t>
      </w:r>
      <w:r w:rsidR="004768C3">
        <w:rPr>
          <w:rFonts w:eastAsia="Calibri"/>
        </w:rPr>
        <w:t xml:space="preserve">RAN3 </w:t>
      </w:r>
      <w:r>
        <w:rPr>
          <w:rFonts w:eastAsia="Calibri"/>
        </w:rPr>
        <w:t xml:space="preserve">standards impact to a feeder link switch. </w:t>
      </w:r>
    </w:p>
    <w:p w14:paraId="04A0E391" w14:textId="39CC5CDB" w:rsidR="0023454C" w:rsidRPr="000F21E9" w:rsidRDefault="0023454C" w:rsidP="0023454C">
      <w:pPr>
        <w:spacing w:line="276" w:lineRule="auto"/>
        <w:rPr>
          <w:rFonts w:eastAsia="Calibri" w:cs="Arial"/>
          <w:bCs/>
          <w:i/>
          <w:iCs/>
          <w:sz w:val="22"/>
          <w:szCs w:val="22"/>
        </w:rPr>
      </w:pPr>
      <w:r>
        <w:rPr>
          <w:rFonts w:eastAsia="Calibri" w:cs="Arial"/>
          <w:b/>
          <w:i/>
          <w:iCs/>
          <w:sz w:val="22"/>
          <w:szCs w:val="22"/>
        </w:rPr>
        <w:t>Proposal</w:t>
      </w:r>
      <w:r w:rsidRPr="00733B56">
        <w:rPr>
          <w:rFonts w:eastAsia="Calibri" w:cs="Arial"/>
          <w:b/>
          <w:i/>
          <w:iCs/>
          <w:sz w:val="22"/>
          <w:szCs w:val="22"/>
        </w:rPr>
        <w:t xml:space="preserve"> </w:t>
      </w:r>
      <w:r>
        <w:rPr>
          <w:rFonts w:eastAsia="Calibri" w:cs="Arial"/>
          <w:b/>
          <w:i/>
          <w:iCs/>
          <w:sz w:val="22"/>
          <w:szCs w:val="22"/>
        </w:rPr>
        <w:t xml:space="preserve">1: </w:t>
      </w:r>
      <w:r>
        <w:rPr>
          <w:rFonts w:eastAsia="Calibri" w:cs="Arial"/>
          <w:bCs/>
          <w:i/>
          <w:iCs/>
          <w:sz w:val="22"/>
          <w:szCs w:val="22"/>
        </w:rPr>
        <w:t>A</w:t>
      </w:r>
      <w:r w:rsidRPr="0023454C">
        <w:rPr>
          <w:rFonts w:eastAsia="Calibri" w:cs="Arial"/>
          <w:bCs/>
          <w:i/>
          <w:iCs/>
          <w:sz w:val="22"/>
          <w:szCs w:val="22"/>
        </w:rPr>
        <w:t xml:space="preserve"> XN Satellite Connection Request, Satellite Connection Request Acknowledge and Satellite Connection Request Reject are </w:t>
      </w:r>
      <w:r w:rsidR="00725294" w:rsidRPr="0023454C">
        <w:rPr>
          <w:rFonts w:eastAsia="Calibri" w:cs="Arial"/>
          <w:bCs/>
          <w:i/>
          <w:iCs/>
          <w:sz w:val="22"/>
          <w:szCs w:val="22"/>
        </w:rPr>
        <w:t>needed</w:t>
      </w:r>
      <w:r w:rsidR="00191576">
        <w:rPr>
          <w:rFonts w:eastAsia="Calibri" w:cs="Arial"/>
          <w:bCs/>
          <w:i/>
          <w:iCs/>
          <w:sz w:val="22"/>
          <w:szCs w:val="22"/>
        </w:rPr>
        <w:t>.</w:t>
      </w:r>
    </w:p>
    <w:p w14:paraId="12974192" w14:textId="17292AFE" w:rsidR="00C94306" w:rsidRDefault="00C94306" w:rsidP="00CE1F4B">
      <w:pPr>
        <w:rPr>
          <w:rFonts w:eastAsia="Calibri"/>
          <w:b/>
          <w:bCs/>
        </w:rPr>
      </w:pPr>
      <w:r>
        <w:rPr>
          <w:rFonts w:eastAsia="Calibri"/>
        </w:rPr>
        <w:t>X</w:t>
      </w:r>
      <w:r w:rsidRPr="00C94306">
        <w:rPr>
          <w:rFonts w:eastAsia="Calibri"/>
          <w:b/>
          <w:bCs/>
        </w:rPr>
        <w:t>n Message to trigger establishment and switch over of the second link for hard feeder link switch</w:t>
      </w:r>
    </w:p>
    <w:p w14:paraId="43E083B2" w14:textId="0298539A" w:rsidR="00C94306" w:rsidRDefault="00832401" w:rsidP="00CE1F4B">
      <w:pPr>
        <w:rPr>
          <w:rFonts w:eastAsia="Calibri"/>
        </w:rPr>
      </w:pPr>
      <w:r>
        <w:rPr>
          <w:rFonts w:eastAsia="Calibri"/>
        </w:rPr>
        <w:t xml:space="preserve">The procedure for hard switch looks like it is </w:t>
      </w:r>
      <w:proofErr w:type="gramStart"/>
      <w:r>
        <w:rPr>
          <w:rFonts w:eastAsia="Calibri"/>
        </w:rPr>
        <w:t>similar to</w:t>
      </w:r>
      <w:proofErr w:type="gramEnd"/>
      <w:r>
        <w:rPr>
          <w:rFonts w:eastAsia="Calibri"/>
        </w:rPr>
        <w:t xml:space="preserve"> soft switch, except that instead of establishing a second simultaneous link you are actually dropping the first link to establish the second. Therefore, the same XN Satellite Connection Request, Satellite Connection Request Acknowledge and Satellite Connection Request Reject can be used, with an optional parameter included only for hard switch which is the timing reference for the switch. There is no need for a flag in the request to denote that this is a hard or soft switch because there already will be a timing reference if it is hard, and also it is unlikely that a particular pair of gNB will be alternating between hard and soft switch. </w:t>
      </w:r>
    </w:p>
    <w:p w14:paraId="4114DD9C" w14:textId="759A4B93" w:rsidR="0023454C" w:rsidRPr="000F21E9" w:rsidRDefault="0023454C" w:rsidP="0023454C">
      <w:pPr>
        <w:spacing w:line="276" w:lineRule="auto"/>
        <w:rPr>
          <w:rFonts w:eastAsia="Calibri" w:cs="Arial"/>
          <w:bCs/>
          <w:i/>
          <w:iCs/>
          <w:sz w:val="22"/>
          <w:szCs w:val="22"/>
        </w:rPr>
      </w:pPr>
      <w:r>
        <w:rPr>
          <w:rFonts w:eastAsia="Calibri" w:cs="Arial"/>
          <w:b/>
          <w:i/>
          <w:iCs/>
          <w:sz w:val="22"/>
          <w:szCs w:val="22"/>
        </w:rPr>
        <w:t>Proposal</w:t>
      </w:r>
      <w:r w:rsidRPr="00733B56">
        <w:rPr>
          <w:rFonts w:eastAsia="Calibri" w:cs="Arial"/>
          <w:b/>
          <w:i/>
          <w:iCs/>
          <w:sz w:val="22"/>
          <w:szCs w:val="22"/>
        </w:rPr>
        <w:t xml:space="preserve"> </w:t>
      </w:r>
      <w:r>
        <w:rPr>
          <w:rFonts w:eastAsia="Calibri" w:cs="Arial"/>
          <w:b/>
          <w:i/>
          <w:iCs/>
          <w:sz w:val="22"/>
          <w:szCs w:val="22"/>
        </w:rPr>
        <w:t xml:space="preserve">2: </w:t>
      </w:r>
      <w:r>
        <w:rPr>
          <w:rFonts w:eastAsia="Calibri" w:cs="Arial"/>
          <w:bCs/>
          <w:i/>
          <w:iCs/>
          <w:sz w:val="22"/>
          <w:szCs w:val="22"/>
        </w:rPr>
        <w:t>The same</w:t>
      </w:r>
      <w:r w:rsidRPr="0023454C">
        <w:rPr>
          <w:rFonts w:eastAsia="Calibri" w:cs="Arial"/>
          <w:bCs/>
          <w:i/>
          <w:iCs/>
          <w:sz w:val="22"/>
          <w:szCs w:val="22"/>
        </w:rPr>
        <w:t xml:space="preserve"> XN Satellite Connection Request, Satellite Connection Request Acknowledge and Satellite Connection Request Reject are needed</w:t>
      </w:r>
      <w:r>
        <w:rPr>
          <w:rFonts w:eastAsia="Calibri" w:cs="Arial"/>
          <w:bCs/>
          <w:i/>
          <w:iCs/>
          <w:sz w:val="22"/>
          <w:szCs w:val="22"/>
        </w:rPr>
        <w:t xml:space="preserve"> with a time reference for the hard switch.</w:t>
      </w:r>
    </w:p>
    <w:p w14:paraId="3B6545B6" w14:textId="4213D2C2" w:rsidR="00DA4A40" w:rsidRDefault="00DA4A40" w:rsidP="00CE1F4B">
      <w:pPr>
        <w:rPr>
          <w:rFonts w:eastAsia="Calibri"/>
          <w:b/>
          <w:bCs/>
        </w:rPr>
      </w:pPr>
      <w:r w:rsidRPr="00DA4A40">
        <w:rPr>
          <w:rFonts w:eastAsia="Calibri"/>
          <w:b/>
          <w:bCs/>
        </w:rPr>
        <w:t>NG Messages for hard or soft switch</w:t>
      </w:r>
    </w:p>
    <w:p w14:paraId="0D892311" w14:textId="7A0DF6F2" w:rsidR="00DA4A40" w:rsidRDefault="00DA4A40" w:rsidP="00CE1F4B">
      <w:pPr>
        <w:rPr>
          <w:rFonts w:eastAsia="Calibri"/>
        </w:rPr>
      </w:pPr>
      <w:r>
        <w:rPr>
          <w:rFonts w:eastAsia="Calibri"/>
        </w:rPr>
        <w:t>The question here is whether you can guarantee a Xn interface between gNBs involved in feeder switch</w:t>
      </w:r>
      <w:bookmarkStart w:id="1" w:name="_Hlk54278804"/>
      <w:r>
        <w:rPr>
          <w:rFonts w:eastAsia="Calibri"/>
        </w:rPr>
        <w:t xml:space="preserve">. </w:t>
      </w:r>
      <w:bookmarkStart w:id="2" w:name="_Hlk54278982"/>
      <w:r w:rsidR="00B97196">
        <w:rPr>
          <w:rFonts w:eastAsia="Calibri"/>
        </w:rPr>
        <w:t xml:space="preserve">In fact as described above in section 2.3, hard switch requires very fast exchange of information it would be difficult to get it to work without a direct Xn interface, instead of routing needed information through the core network(s), soft switch while not as time critical still involves moving UEs in a relatively short period of time and thus is under the similar constraint. </w:t>
      </w:r>
      <w:bookmarkEnd w:id="1"/>
      <w:r w:rsidR="00B97196">
        <w:rPr>
          <w:rFonts w:eastAsia="Calibri"/>
        </w:rPr>
        <w:t xml:space="preserve">Therefore, </w:t>
      </w:r>
      <w:r w:rsidR="00A17E9A" w:rsidRPr="00A17E9A">
        <w:rPr>
          <w:rFonts w:eastAsia="Calibri"/>
        </w:rPr>
        <w:t>we think a feeder-link switch would only be practical</w:t>
      </w:r>
      <w:r w:rsidR="002140C8">
        <w:rPr>
          <w:rFonts w:eastAsia="Calibri"/>
        </w:rPr>
        <w:t>,</w:t>
      </w:r>
      <w:r w:rsidR="00A17E9A" w:rsidRPr="00A17E9A">
        <w:rPr>
          <w:rFonts w:eastAsia="Calibri"/>
        </w:rPr>
        <w:t xml:space="preserve"> </w:t>
      </w:r>
      <w:r w:rsidR="00A17E9A">
        <w:rPr>
          <w:rFonts w:eastAsia="Calibri"/>
        </w:rPr>
        <w:t>particularly for a hard switch</w:t>
      </w:r>
      <w:r w:rsidR="002140C8">
        <w:rPr>
          <w:rFonts w:eastAsia="Calibri"/>
        </w:rPr>
        <w:t>,</w:t>
      </w:r>
      <w:r w:rsidR="00A17E9A">
        <w:rPr>
          <w:rFonts w:eastAsia="Calibri"/>
        </w:rPr>
        <w:t xml:space="preserve"> </w:t>
      </w:r>
      <w:r w:rsidR="00A17E9A" w:rsidRPr="00A17E9A">
        <w:rPr>
          <w:rFonts w:eastAsia="Calibri"/>
        </w:rPr>
        <w:t>if an Xn interface exists</w:t>
      </w:r>
      <w:bookmarkEnd w:id="2"/>
      <w:r w:rsidR="002140C8">
        <w:rPr>
          <w:rFonts w:eastAsia="Calibri"/>
        </w:rPr>
        <w:t>.</w:t>
      </w:r>
      <w:r>
        <w:rPr>
          <w:rFonts w:eastAsia="Calibri"/>
        </w:rPr>
        <w:t xml:space="preserve"> </w:t>
      </w:r>
      <w:r w:rsidR="002140C8">
        <w:rPr>
          <w:rFonts w:eastAsia="Calibri"/>
        </w:rPr>
        <w:t xml:space="preserve">However, if it </w:t>
      </w:r>
      <w:proofErr w:type="gramStart"/>
      <w:r w:rsidR="002140C8">
        <w:rPr>
          <w:rFonts w:eastAsia="Calibri"/>
        </w:rPr>
        <w:t>can’t</w:t>
      </w:r>
      <w:proofErr w:type="gramEnd"/>
      <w:r w:rsidR="002140C8">
        <w:rPr>
          <w:rFonts w:eastAsia="Calibri"/>
        </w:rPr>
        <w:t xml:space="preserve"> be guaranteed, </w:t>
      </w:r>
      <w:r>
        <w:rPr>
          <w:rFonts w:eastAsia="Calibri"/>
        </w:rPr>
        <w:t>the same Satellite Connection Request, Satellite Connection Request Acknowledge and Satellite Connection Request Reject would be needed</w:t>
      </w:r>
      <w:r w:rsidR="002140C8">
        <w:rPr>
          <w:rFonts w:eastAsia="Calibri"/>
        </w:rPr>
        <w:t xml:space="preserve"> for NG.</w:t>
      </w:r>
    </w:p>
    <w:p w14:paraId="5C1B54B2" w14:textId="16A01728" w:rsidR="0023454C" w:rsidRPr="000F21E9" w:rsidRDefault="0023454C" w:rsidP="0023454C">
      <w:pPr>
        <w:spacing w:line="276" w:lineRule="auto"/>
        <w:rPr>
          <w:rFonts w:eastAsia="Calibri" w:cs="Arial"/>
          <w:bCs/>
          <w:i/>
          <w:iCs/>
          <w:sz w:val="22"/>
          <w:szCs w:val="22"/>
        </w:rPr>
      </w:pPr>
      <w:r>
        <w:rPr>
          <w:rFonts w:eastAsia="Calibri" w:cs="Arial"/>
          <w:b/>
          <w:i/>
          <w:iCs/>
          <w:sz w:val="22"/>
          <w:szCs w:val="22"/>
        </w:rPr>
        <w:lastRenderedPageBreak/>
        <w:t>Proposal</w:t>
      </w:r>
      <w:r w:rsidRPr="00733B56">
        <w:rPr>
          <w:rFonts w:eastAsia="Calibri" w:cs="Arial"/>
          <w:b/>
          <w:i/>
          <w:iCs/>
          <w:sz w:val="22"/>
          <w:szCs w:val="22"/>
        </w:rPr>
        <w:t xml:space="preserve"> </w:t>
      </w:r>
      <w:r>
        <w:rPr>
          <w:rFonts w:eastAsia="Calibri" w:cs="Arial"/>
          <w:b/>
          <w:i/>
          <w:iCs/>
          <w:sz w:val="22"/>
          <w:szCs w:val="22"/>
        </w:rPr>
        <w:t xml:space="preserve">3: </w:t>
      </w:r>
      <w:r>
        <w:rPr>
          <w:rFonts w:eastAsia="Calibri" w:cs="Arial"/>
          <w:bCs/>
          <w:i/>
          <w:iCs/>
          <w:sz w:val="22"/>
          <w:szCs w:val="22"/>
        </w:rPr>
        <w:t xml:space="preserve">There is probably not a need to trigger a soft or hard switch over the NG interface, but if it is determined that it is needed, the same </w:t>
      </w:r>
      <w:r w:rsidRPr="0023454C">
        <w:rPr>
          <w:rFonts w:eastAsia="Calibri" w:cs="Arial"/>
          <w:bCs/>
          <w:i/>
          <w:iCs/>
          <w:sz w:val="22"/>
          <w:szCs w:val="22"/>
        </w:rPr>
        <w:t>Satellite Connection Request, Satellite Connection Request Acknowledge and Satellite Connection Request Reject</w:t>
      </w:r>
      <w:r>
        <w:rPr>
          <w:rFonts w:eastAsia="Calibri" w:cs="Arial"/>
          <w:bCs/>
          <w:i/>
          <w:iCs/>
          <w:sz w:val="22"/>
          <w:szCs w:val="22"/>
        </w:rPr>
        <w:t xml:space="preserve"> can be used.</w:t>
      </w:r>
    </w:p>
    <w:p w14:paraId="36E81416" w14:textId="4F657EA2" w:rsidR="00DA4A40" w:rsidRPr="00DA4A40" w:rsidRDefault="00DA4A40" w:rsidP="00CE1F4B">
      <w:pPr>
        <w:rPr>
          <w:rFonts w:eastAsia="Calibri"/>
          <w:b/>
          <w:bCs/>
        </w:rPr>
      </w:pPr>
      <w:r w:rsidRPr="00DA4A40">
        <w:rPr>
          <w:rFonts w:eastAsia="Calibri"/>
          <w:b/>
          <w:bCs/>
        </w:rPr>
        <w:t xml:space="preserve">XN Enhancements for hard switch </w:t>
      </w:r>
      <w:r>
        <w:rPr>
          <w:rFonts w:eastAsia="Calibri"/>
          <w:b/>
          <w:bCs/>
        </w:rPr>
        <w:t>for assistance data</w:t>
      </w:r>
    </w:p>
    <w:p w14:paraId="344A64A3" w14:textId="569FBBBC" w:rsidR="00DA4A40" w:rsidRDefault="00DA4A40" w:rsidP="00CE1F4B">
      <w:pPr>
        <w:rPr>
          <w:rFonts w:eastAsia="Calibri"/>
        </w:rPr>
      </w:pPr>
      <w:r>
        <w:rPr>
          <w:rFonts w:eastAsia="Calibri"/>
        </w:rPr>
        <w:t>This discussion is premature and would need to</w:t>
      </w:r>
      <w:r w:rsidR="0023454C">
        <w:rPr>
          <w:rFonts w:eastAsia="Calibri"/>
        </w:rPr>
        <w:t xml:space="preserve"> be</w:t>
      </w:r>
      <w:r>
        <w:rPr>
          <w:rFonts w:eastAsia="Calibri"/>
        </w:rPr>
        <w:t xml:space="preserve"> </w:t>
      </w:r>
      <w:r w:rsidR="0023454C">
        <w:rPr>
          <w:rFonts w:eastAsia="Calibri"/>
        </w:rPr>
        <w:t xml:space="preserve">looked at when RAN2 has come to more firm decisions on how to handle hard switch. Depending on the group of solutions there can be improvements on the RAN3 specifications. </w:t>
      </w:r>
    </w:p>
    <w:p w14:paraId="11727459" w14:textId="57EBDC14" w:rsidR="00DA4A40" w:rsidRPr="00DA4A40" w:rsidRDefault="0023454C" w:rsidP="00CE1F4B">
      <w:pPr>
        <w:rPr>
          <w:rFonts w:eastAsia="Calibri"/>
        </w:rPr>
      </w:pPr>
      <w:r>
        <w:rPr>
          <w:rFonts w:eastAsia="Calibri" w:cs="Arial"/>
          <w:b/>
          <w:i/>
          <w:iCs/>
          <w:sz w:val="22"/>
          <w:szCs w:val="22"/>
        </w:rPr>
        <w:t>Proposal</w:t>
      </w:r>
      <w:r w:rsidRPr="00733B56">
        <w:rPr>
          <w:rFonts w:eastAsia="Calibri" w:cs="Arial"/>
          <w:b/>
          <w:i/>
          <w:iCs/>
          <w:sz w:val="22"/>
          <w:szCs w:val="22"/>
        </w:rPr>
        <w:t xml:space="preserve"> </w:t>
      </w:r>
      <w:r>
        <w:rPr>
          <w:rFonts w:eastAsia="Calibri" w:cs="Arial"/>
          <w:b/>
          <w:i/>
          <w:iCs/>
          <w:sz w:val="22"/>
          <w:szCs w:val="22"/>
        </w:rPr>
        <w:t xml:space="preserve">4: </w:t>
      </w:r>
      <w:r>
        <w:rPr>
          <w:rFonts w:eastAsia="Calibri" w:cs="Arial"/>
          <w:bCs/>
          <w:i/>
          <w:iCs/>
          <w:sz w:val="22"/>
          <w:szCs w:val="22"/>
        </w:rPr>
        <w:t>It is premature to discuss any enhancement to existing procedures to assist UEs during a hard switch until RAN2 has determined the tools that will be used over the radio interface.</w:t>
      </w:r>
    </w:p>
    <w:p w14:paraId="0B6D7D6F" w14:textId="77777777" w:rsidR="00214E6A" w:rsidRPr="004A1A95" w:rsidRDefault="00214E6A" w:rsidP="00214E6A">
      <w:pPr>
        <w:pStyle w:val="Heading1"/>
      </w:pPr>
      <w:r w:rsidRPr="004A1A95">
        <w:t>Conclusion</w:t>
      </w:r>
    </w:p>
    <w:p w14:paraId="1C3493F4" w14:textId="2EBC2801" w:rsidR="003334AB" w:rsidRDefault="0023454C" w:rsidP="00C6277A">
      <w:pPr>
        <w:tabs>
          <w:tab w:val="left" w:pos="0"/>
        </w:tabs>
        <w:rPr>
          <w:sz w:val="22"/>
        </w:rPr>
      </w:pPr>
      <w:r>
        <w:rPr>
          <w:sz w:val="22"/>
        </w:rPr>
        <w:t>The following are the conclusions for the impact on RAN3 specifications for feeder link switch:</w:t>
      </w:r>
    </w:p>
    <w:p w14:paraId="4CC9AA53" w14:textId="23AD5F89" w:rsidR="0023454C" w:rsidRPr="000F21E9" w:rsidRDefault="0023454C" w:rsidP="0023454C">
      <w:pPr>
        <w:spacing w:line="276" w:lineRule="auto"/>
        <w:rPr>
          <w:rFonts w:eastAsia="Calibri" w:cs="Arial"/>
          <w:bCs/>
          <w:i/>
          <w:iCs/>
          <w:sz w:val="22"/>
          <w:szCs w:val="22"/>
        </w:rPr>
      </w:pPr>
      <w:r>
        <w:rPr>
          <w:rFonts w:eastAsia="Calibri" w:cs="Arial"/>
          <w:b/>
          <w:i/>
          <w:iCs/>
          <w:sz w:val="22"/>
          <w:szCs w:val="22"/>
        </w:rPr>
        <w:t>Proposal</w:t>
      </w:r>
      <w:r w:rsidRPr="00733B56">
        <w:rPr>
          <w:rFonts w:eastAsia="Calibri" w:cs="Arial"/>
          <w:b/>
          <w:i/>
          <w:iCs/>
          <w:sz w:val="22"/>
          <w:szCs w:val="22"/>
        </w:rPr>
        <w:t xml:space="preserve"> </w:t>
      </w:r>
      <w:r>
        <w:rPr>
          <w:rFonts w:eastAsia="Calibri" w:cs="Arial"/>
          <w:b/>
          <w:i/>
          <w:iCs/>
          <w:sz w:val="22"/>
          <w:szCs w:val="22"/>
        </w:rPr>
        <w:t xml:space="preserve">1: </w:t>
      </w:r>
      <w:r>
        <w:rPr>
          <w:rFonts w:eastAsia="Calibri" w:cs="Arial"/>
          <w:bCs/>
          <w:i/>
          <w:iCs/>
          <w:sz w:val="22"/>
          <w:szCs w:val="22"/>
        </w:rPr>
        <w:t>A</w:t>
      </w:r>
      <w:r w:rsidRPr="0023454C">
        <w:rPr>
          <w:rFonts w:eastAsia="Calibri" w:cs="Arial"/>
          <w:bCs/>
          <w:i/>
          <w:iCs/>
          <w:sz w:val="22"/>
          <w:szCs w:val="22"/>
        </w:rPr>
        <w:t xml:space="preserve"> XN Satellite Connection Request, Satellite Connection Request Acknowledge and Satellite Connection Request Reject are </w:t>
      </w:r>
      <w:r w:rsidR="00725294" w:rsidRPr="0023454C">
        <w:rPr>
          <w:rFonts w:eastAsia="Calibri" w:cs="Arial"/>
          <w:bCs/>
          <w:i/>
          <w:iCs/>
          <w:sz w:val="22"/>
          <w:szCs w:val="22"/>
        </w:rPr>
        <w:t>needed</w:t>
      </w:r>
      <w:r w:rsidR="00210570">
        <w:rPr>
          <w:rFonts w:eastAsia="Calibri" w:cs="Arial"/>
          <w:bCs/>
          <w:i/>
          <w:iCs/>
          <w:sz w:val="22"/>
          <w:szCs w:val="22"/>
        </w:rPr>
        <w:t>.</w:t>
      </w:r>
    </w:p>
    <w:p w14:paraId="03A1C569" w14:textId="77777777" w:rsidR="0023454C" w:rsidRPr="000F21E9" w:rsidRDefault="0023454C" w:rsidP="0023454C">
      <w:pPr>
        <w:spacing w:line="276" w:lineRule="auto"/>
        <w:rPr>
          <w:rFonts w:eastAsia="Calibri" w:cs="Arial"/>
          <w:bCs/>
          <w:i/>
          <w:iCs/>
          <w:sz w:val="22"/>
          <w:szCs w:val="22"/>
        </w:rPr>
      </w:pPr>
      <w:r>
        <w:rPr>
          <w:rFonts w:eastAsia="Calibri" w:cs="Arial"/>
          <w:b/>
          <w:i/>
          <w:iCs/>
          <w:sz w:val="22"/>
          <w:szCs w:val="22"/>
        </w:rPr>
        <w:t>Proposal</w:t>
      </w:r>
      <w:r w:rsidRPr="00733B56">
        <w:rPr>
          <w:rFonts w:eastAsia="Calibri" w:cs="Arial"/>
          <w:b/>
          <w:i/>
          <w:iCs/>
          <w:sz w:val="22"/>
          <w:szCs w:val="22"/>
        </w:rPr>
        <w:t xml:space="preserve"> </w:t>
      </w:r>
      <w:r>
        <w:rPr>
          <w:rFonts w:eastAsia="Calibri" w:cs="Arial"/>
          <w:b/>
          <w:i/>
          <w:iCs/>
          <w:sz w:val="22"/>
          <w:szCs w:val="22"/>
        </w:rPr>
        <w:t xml:space="preserve">2: </w:t>
      </w:r>
      <w:r>
        <w:rPr>
          <w:rFonts w:eastAsia="Calibri" w:cs="Arial"/>
          <w:bCs/>
          <w:i/>
          <w:iCs/>
          <w:sz w:val="22"/>
          <w:szCs w:val="22"/>
        </w:rPr>
        <w:t>The same</w:t>
      </w:r>
      <w:r w:rsidRPr="0023454C">
        <w:rPr>
          <w:rFonts w:eastAsia="Calibri" w:cs="Arial"/>
          <w:bCs/>
          <w:i/>
          <w:iCs/>
          <w:sz w:val="22"/>
          <w:szCs w:val="22"/>
        </w:rPr>
        <w:t xml:space="preserve"> XN Satellite Connection Request, Satellite Connection Request Acknowledge and Satellite Connection Request Reject are needed</w:t>
      </w:r>
      <w:r>
        <w:rPr>
          <w:rFonts w:eastAsia="Calibri" w:cs="Arial"/>
          <w:bCs/>
          <w:i/>
          <w:iCs/>
          <w:sz w:val="22"/>
          <w:szCs w:val="22"/>
        </w:rPr>
        <w:t xml:space="preserve"> with a time reference for the hard switch.</w:t>
      </w:r>
    </w:p>
    <w:p w14:paraId="3F24101C" w14:textId="77777777" w:rsidR="0023454C" w:rsidRPr="000F21E9" w:rsidRDefault="0023454C" w:rsidP="0023454C">
      <w:pPr>
        <w:spacing w:line="276" w:lineRule="auto"/>
        <w:rPr>
          <w:rFonts w:eastAsia="Calibri" w:cs="Arial"/>
          <w:bCs/>
          <w:i/>
          <w:iCs/>
          <w:sz w:val="22"/>
          <w:szCs w:val="22"/>
        </w:rPr>
      </w:pPr>
      <w:r>
        <w:rPr>
          <w:rFonts w:eastAsia="Calibri" w:cs="Arial"/>
          <w:b/>
          <w:i/>
          <w:iCs/>
          <w:sz w:val="22"/>
          <w:szCs w:val="22"/>
        </w:rPr>
        <w:t>Proposal</w:t>
      </w:r>
      <w:r w:rsidRPr="00733B56">
        <w:rPr>
          <w:rFonts w:eastAsia="Calibri" w:cs="Arial"/>
          <w:b/>
          <w:i/>
          <w:iCs/>
          <w:sz w:val="22"/>
          <w:szCs w:val="22"/>
        </w:rPr>
        <w:t xml:space="preserve"> </w:t>
      </w:r>
      <w:r>
        <w:rPr>
          <w:rFonts w:eastAsia="Calibri" w:cs="Arial"/>
          <w:b/>
          <w:i/>
          <w:iCs/>
          <w:sz w:val="22"/>
          <w:szCs w:val="22"/>
        </w:rPr>
        <w:t xml:space="preserve">3: </w:t>
      </w:r>
      <w:r>
        <w:rPr>
          <w:rFonts w:eastAsia="Calibri" w:cs="Arial"/>
          <w:bCs/>
          <w:i/>
          <w:iCs/>
          <w:sz w:val="22"/>
          <w:szCs w:val="22"/>
        </w:rPr>
        <w:t xml:space="preserve">There is probably not a need to trigger a soft or hard switch over the NG interface, but if it is determined that it is needed, the same </w:t>
      </w:r>
      <w:r w:rsidRPr="0023454C">
        <w:rPr>
          <w:rFonts w:eastAsia="Calibri" w:cs="Arial"/>
          <w:bCs/>
          <w:i/>
          <w:iCs/>
          <w:sz w:val="22"/>
          <w:szCs w:val="22"/>
        </w:rPr>
        <w:t>Satellite Connection Request, Satellite Connection Request Acknowledge and Satellite Connection Request Reject</w:t>
      </w:r>
      <w:r>
        <w:rPr>
          <w:rFonts w:eastAsia="Calibri" w:cs="Arial"/>
          <w:bCs/>
          <w:i/>
          <w:iCs/>
          <w:sz w:val="22"/>
          <w:szCs w:val="22"/>
        </w:rPr>
        <w:t xml:space="preserve"> can be used.</w:t>
      </w:r>
    </w:p>
    <w:p w14:paraId="5707019C" w14:textId="77777777" w:rsidR="0023454C" w:rsidRPr="00DA4A40" w:rsidRDefault="0023454C" w:rsidP="0023454C">
      <w:pPr>
        <w:rPr>
          <w:rFonts w:eastAsia="Calibri"/>
        </w:rPr>
      </w:pPr>
      <w:r>
        <w:rPr>
          <w:rFonts w:eastAsia="Calibri" w:cs="Arial"/>
          <w:b/>
          <w:i/>
          <w:iCs/>
          <w:sz w:val="22"/>
          <w:szCs w:val="22"/>
        </w:rPr>
        <w:t>Proposal</w:t>
      </w:r>
      <w:r w:rsidRPr="00733B56">
        <w:rPr>
          <w:rFonts w:eastAsia="Calibri" w:cs="Arial"/>
          <w:b/>
          <w:i/>
          <w:iCs/>
          <w:sz w:val="22"/>
          <w:szCs w:val="22"/>
        </w:rPr>
        <w:t xml:space="preserve"> </w:t>
      </w:r>
      <w:r>
        <w:rPr>
          <w:rFonts w:eastAsia="Calibri" w:cs="Arial"/>
          <w:b/>
          <w:i/>
          <w:iCs/>
          <w:sz w:val="22"/>
          <w:szCs w:val="22"/>
        </w:rPr>
        <w:t xml:space="preserve">4: </w:t>
      </w:r>
      <w:r>
        <w:rPr>
          <w:rFonts w:eastAsia="Calibri" w:cs="Arial"/>
          <w:bCs/>
          <w:i/>
          <w:iCs/>
          <w:sz w:val="22"/>
          <w:szCs w:val="22"/>
        </w:rPr>
        <w:t>It is premature to discuss any enhancement to existing procedures to assist UEs during a hard switch until RAN2 has determined the tools that will be used over the radio interface.</w:t>
      </w:r>
    </w:p>
    <w:p w14:paraId="51C15C28" w14:textId="77777777" w:rsidR="003334AB" w:rsidRPr="004A1A95" w:rsidRDefault="003334AB" w:rsidP="003334AB">
      <w:pPr>
        <w:pStyle w:val="Heading1"/>
      </w:pPr>
      <w:r w:rsidRPr="004A1A95">
        <w:t>References</w:t>
      </w:r>
    </w:p>
    <w:p w14:paraId="01F93A56" w14:textId="77777777" w:rsidR="003334AB" w:rsidRPr="008924A3" w:rsidRDefault="003334AB" w:rsidP="003334AB">
      <w:pPr>
        <w:pStyle w:val="ListParagraph"/>
        <w:numPr>
          <w:ilvl w:val="0"/>
          <w:numId w:val="15"/>
        </w:numPr>
        <w:spacing w:before="120"/>
        <w:jc w:val="both"/>
        <w:rPr>
          <w:rFonts w:ascii="Arial" w:hAnsi="Arial" w:cs="Arial"/>
        </w:rPr>
      </w:pPr>
      <w:bookmarkStart w:id="3" w:name="_Ref521518965"/>
      <w:r w:rsidRPr="008924A3">
        <w:rPr>
          <w:rFonts w:ascii="Arial" w:hAnsi="Arial" w:cs="Arial"/>
        </w:rPr>
        <w:t>RP-193234, “Solutions for NR to support non-terrestrial networks (NTN)”, Thales</w:t>
      </w:r>
    </w:p>
    <w:p w14:paraId="513F9383" w14:textId="77777777" w:rsidR="003334AB" w:rsidRPr="008924A3" w:rsidRDefault="003334AB" w:rsidP="003334AB">
      <w:pPr>
        <w:pStyle w:val="ListParagraph"/>
        <w:numPr>
          <w:ilvl w:val="0"/>
          <w:numId w:val="15"/>
        </w:numPr>
        <w:spacing w:before="120"/>
        <w:jc w:val="both"/>
        <w:rPr>
          <w:rFonts w:ascii="Arial" w:hAnsi="Arial" w:cs="Arial"/>
        </w:rPr>
      </w:pPr>
      <w:r w:rsidRPr="008924A3">
        <w:rPr>
          <w:rFonts w:ascii="Arial" w:hAnsi="Arial" w:cs="Arial"/>
        </w:rPr>
        <w:t>3GPP TR38.821 V16.0.0, “Solutions for NR to support non-terrestrial networks (NTN)”</w:t>
      </w:r>
    </w:p>
    <w:bookmarkEnd w:id="3"/>
    <w:p w14:paraId="0F0AF11F" w14:textId="77777777" w:rsidR="003334AB" w:rsidRPr="00E60A1B" w:rsidRDefault="003334AB" w:rsidP="003334AB">
      <w:pPr>
        <w:rPr>
          <w:lang w:val="en-US"/>
        </w:rPr>
      </w:pPr>
    </w:p>
    <w:sectPr w:rsidR="003334AB" w:rsidRPr="00E60A1B">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F25CD" w14:textId="77777777" w:rsidR="00CE1CDB" w:rsidRDefault="00CE1CDB">
      <w:pPr>
        <w:spacing w:after="0"/>
      </w:pPr>
      <w:r>
        <w:separator/>
      </w:r>
    </w:p>
  </w:endnote>
  <w:endnote w:type="continuationSeparator" w:id="0">
    <w:p w14:paraId="36C6E6C5" w14:textId="77777777" w:rsidR="00CE1CDB" w:rsidRDefault="00CE1C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D707A" w14:textId="77777777" w:rsidR="00CB642D" w:rsidRDefault="00214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67E15" w14:textId="77777777" w:rsidR="00CE1CDB" w:rsidRDefault="00CE1CDB">
      <w:pPr>
        <w:spacing w:after="0"/>
      </w:pPr>
      <w:r>
        <w:separator/>
      </w:r>
    </w:p>
  </w:footnote>
  <w:footnote w:type="continuationSeparator" w:id="0">
    <w:p w14:paraId="41F8FEEA" w14:textId="77777777" w:rsidR="00CE1CDB" w:rsidRDefault="00CE1C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8"/>
  </w:num>
  <w:num w:numId="3">
    <w:abstractNumId w:val="9"/>
  </w:num>
  <w:num w:numId="4">
    <w:abstractNumId w:val="14"/>
  </w:num>
  <w:num w:numId="5">
    <w:abstractNumId w:val="4"/>
  </w:num>
  <w:num w:numId="6">
    <w:abstractNumId w:val="13"/>
  </w:num>
  <w:num w:numId="7">
    <w:abstractNumId w:val="10"/>
  </w:num>
  <w:num w:numId="8">
    <w:abstractNumId w:val="0"/>
  </w:num>
  <w:num w:numId="9">
    <w:abstractNumId w:val="11"/>
  </w:num>
  <w:num w:numId="10">
    <w:abstractNumId w:val="12"/>
  </w:num>
  <w:num w:numId="11">
    <w:abstractNumId w:val="7"/>
  </w:num>
  <w:num w:numId="12">
    <w:abstractNumId w:val="3"/>
  </w:num>
  <w:num w:numId="13">
    <w:abstractNumId w:val="5"/>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2"/>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1445"/>
    <w:rsid w:val="00013648"/>
    <w:rsid w:val="000225EA"/>
    <w:rsid w:val="000600DC"/>
    <w:rsid w:val="00061F39"/>
    <w:rsid w:val="0006245F"/>
    <w:rsid w:val="00064052"/>
    <w:rsid w:val="000674C7"/>
    <w:rsid w:val="0008793C"/>
    <w:rsid w:val="00090FD9"/>
    <w:rsid w:val="00091494"/>
    <w:rsid w:val="000A512D"/>
    <w:rsid w:val="000B3CE8"/>
    <w:rsid w:val="000B3F22"/>
    <w:rsid w:val="000D1CD0"/>
    <w:rsid w:val="000F21E9"/>
    <w:rsid w:val="00142DE2"/>
    <w:rsid w:val="00143787"/>
    <w:rsid w:val="00166C9B"/>
    <w:rsid w:val="00191576"/>
    <w:rsid w:val="001C59D8"/>
    <w:rsid w:val="00210570"/>
    <w:rsid w:val="002130C9"/>
    <w:rsid w:val="002140C8"/>
    <w:rsid w:val="00214E6A"/>
    <w:rsid w:val="00225F54"/>
    <w:rsid w:val="0023454C"/>
    <w:rsid w:val="0024763F"/>
    <w:rsid w:val="00281912"/>
    <w:rsid w:val="00283DB7"/>
    <w:rsid w:val="002C4C84"/>
    <w:rsid w:val="002C7497"/>
    <w:rsid w:val="002D3C8A"/>
    <w:rsid w:val="002F3704"/>
    <w:rsid w:val="00303C9C"/>
    <w:rsid w:val="003240E9"/>
    <w:rsid w:val="00330B3E"/>
    <w:rsid w:val="003334AB"/>
    <w:rsid w:val="00383D4F"/>
    <w:rsid w:val="0039750E"/>
    <w:rsid w:val="003A2C98"/>
    <w:rsid w:val="003D2B16"/>
    <w:rsid w:val="004040A2"/>
    <w:rsid w:val="00440C2E"/>
    <w:rsid w:val="00451891"/>
    <w:rsid w:val="004768C3"/>
    <w:rsid w:val="004E08DF"/>
    <w:rsid w:val="005546C1"/>
    <w:rsid w:val="0058637E"/>
    <w:rsid w:val="005C1BAB"/>
    <w:rsid w:val="005F4760"/>
    <w:rsid w:val="0061085E"/>
    <w:rsid w:val="00626355"/>
    <w:rsid w:val="00642F4B"/>
    <w:rsid w:val="006806A1"/>
    <w:rsid w:val="00695E9D"/>
    <w:rsid w:val="00697E1B"/>
    <w:rsid w:val="006A0172"/>
    <w:rsid w:val="0070274C"/>
    <w:rsid w:val="00710564"/>
    <w:rsid w:val="00721025"/>
    <w:rsid w:val="00725294"/>
    <w:rsid w:val="00774669"/>
    <w:rsid w:val="00782864"/>
    <w:rsid w:val="00791C04"/>
    <w:rsid w:val="007B4EAD"/>
    <w:rsid w:val="007F08C6"/>
    <w:rsid w:val="008167F5"/>
    <w:rsid w:val="008237B8"/>
    <w:rsid w:val="00832401"/>
    <w:rsid w:val="008F3636"/>
    <w:rsid w:val="009339C3"/>
    <w:rsid w:val="00960733"/>
    <w:rsid w:val="009E3E81"/>
    <w:rsid w:val="00A17E9A"/>
    <w:rsid w:val="00A24FC0"/>
    <w:rsid w:val="00A44271"/>
    <w:rsid w:val="00A80D84"/>
    <w:rsid w:val="00AB5C41"/>
    <w:rsid w:val="00AC0FB7"/>
    <w:rsid w:val="00AC1B18"/>
    <w:rsid w:val="00AC211F"/>
    <w:rsid w:val="00AC76A8"/>
    <w:rsid w:val="00AF2AFB"/>
    <w:rsid w:val="00B00581"/>
    <w:rsid w:val="00B47AB7"/>
    <w:rsid w:val="00B642AA"/>
    <w:rsid w:val="00B652F5"/>
    <w:rsid w:val="00B854AD"/>
    <w:rsid w:val="00B97196"/>
    <w:rsid w:val="00BD435D"/>
    <w:rsid w:val="00BE6342"/>
    <w:rsid w:val="00C5021B"/>
    <w:rsid w:val="00C6277A"/>
    <w:rsid w:val="00C94306"/>
    <w:rsid w:val="00CD05AE"/>
    <w:rsid w:val="00CD556B"/>
    <w:rsid w:val="00CE1CDB"/>
    <w:rsid w:val="00CE1F4B"/>
    <w:rsid w:val="00D370B5"/>
    <w:rsid w:val="00D52628"/>
    <w:rsid w:val="00D62C03"/>
    <w:rsid w:val="00DA4A40"/>
    <w:rsid w:val="00DB5942"/>
    <w:rsid w:val="00DD2613"/>
    <w:rsid w:val="00E013C6"/>
    <w:rsid w:val="00E225AC"/>
    <w:rsid w:val="00E36AD3"/>
    <w:rsid w:val="00E60A1B"/>
    <w:rsid w:val="00EB5786"/>
    <w:rsid w:val="00EB6B0E"/>
    <w:rsid w:val="00EC61DF"/>
    <w:rsid w:val="00ED3E53"/>
    <w:rsid w:val="00ED5307"/>
    <w:rsid w:val="00EE2108"/>
    <w:rsid w:val="00F00A92"/>
    <w:rsid w:val="00F47298"/>
    <w:rsid w:val="00FA29D0"/>
    <w:rsid w:val="00FD7468"/>
    <w:rsid w:val="00FF5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styleId="BalloonText">
    <w:name w:val="Balloon Text"/>
    <w:basedOn w:val="Normal"/>
    <w:link w:val="BalloonTextChar"/>
    <w:uiPriority w:val="99"/>
    <w:semiHidden/>
    <w:unhideWhenUsed/>
    <w:rsid w:val="004768C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8C3"/>
    <w:rPr>
      <w:rFonts w:ascii="Segoe UI" w:eastAsia="Times New Roman" w:hAnsi="Segoe UI" w:cs="Segoe UI"/>
      <w:sz w:val="18"/>
      <w:szCs w:val="18"/>
      <w:lang w:val="en-GB" w:eastAsia="zh-CN"/>
    </w:rPr>
  </w:style>
  <w:style w:type="character" w:styleId="CommentReference">
    <w:name w:val="annotation reference"/>
    <w:basedOn w:val="DefaultParagraphFont"/>
    <w:uiPriority w:val="99"/>
    <w:semiHidden/>
    <w:unhideWhenUsed/>
    <w:rsid w:val="00D370B5"/>
    <w:rPr>
      <w:sz w:val="16"/>
      <w:szCs w:val="16"/>
    </w:rPr>
  </w:style>
  <w:style w:type="paragraph" w:styleId="CommentText">
    <w:name w:val="annotation text"/>
    <w:basedOn w:val="Normal"/>
    <w:link w:val="CommentTextChar"/>
    <w:uiPriority w:val="99"/>
    <w:semiHidden/>
    <w:unhideWhenUsed/>
    <w:rsid w:val="00D370B5"/>
  </w:style>
  <w:style w:type="character" w:customStyle="1" w:styleId="CommentTextChar">
    <w:name w:val="Comment Text Char"/>
    <w:basedOn w:val="DefaultParagraphFont"/>
    <w:link w:val="CommentText"/>
    <w:uiPriority w:val="99"/>
    <w:semiHidden/>
    <w:rsid w:val="00D370B5"/>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D370B5"/>
    <w:rPr>
      <w:b/>
      <w:bCs/>
    </w:rPr>
  </w:style>
  <w:style w:type="character" w:customStyle="1" w:styleId="CommentSubjectChar">
    <w:name w:val="Comment Subject Char"/>
    <w:basedOn w:val="CommentTextChar"/>
    <w:link w:val="CommentSubject"/>
    <w:uiPriority w:val="99"/>
    <w:semiHidden/>
    <w:rsid w:val="00D370B5"/>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837285-3157-409C-B961-B13F66528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1429</Words>
  <Characters>8149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IDCC V7</cp:lastModifiedBy>
  <cp:revision>2</cp:revision>
  <dcterms:created xsi:type="dcterms:W3CDTF">2020-10-22T21:43:00Z</dcterms:created>
  <dcterms:modified xsi:type="dcterms:W3CDTF">2020-10-22T21:43:00Z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